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56A8" w14:textId="7F15CC3A" w:rsidR="002F2E98" w:rsidRDefault="00AD40E7">
      <w:pPr>
        <w:pStyle w:val="Heading1"/>
        <w:ind w:left="355"/>
      </w:pPr>
      <w:r>
        <w:t xml:space="preserve">Beschrijving borging incidentregeling </w:t>
      </w:r>
    </w:p>
    <w:p w14:paraId="12BD56A9" w14:textId="18FFC769" w:rsidR="002F2E98" w:rsidRDefault="003D435D" w:rsidP="009F28B8">
      <w:pPr>
        <w:numPr>
          <w:ilvl w:val="0"/>
          <w:numId w:val="5"/>
        </w:numPr>
        <w:spacing w:after="0" w:line="360" w:lineRule="auto"/>
        <w:ind w:right="393" w:hanging="331"/>
      </w:pPr>
      <w:r>
        <w:t xml:space="preserve">Medewerkers </w:t>
      </w:r>
      <w:r w:rsidR="00AD40E7">
        <w:t xml:space="preserve">worden bij indiensttreding gewezen op hun meldingsplicht aan hun leidinggevende of bestuurder over: </w:t>
      </w:r>
    </w:p>
    <w:p w14:paraId="12BD56AA" w14:textId="54F5F8DF" w:rsidR="002F2E98" w:rsidRDefault="00AD40E7" w:rsidP="009F28B8">
      <w:pPr>
        <w:numPr>
          <w:ilvl w:val="1"/>
          <w:numId w:val="5"/>
        </w:numPr>
        <w:spacing w:after="0" w:line="360" w:lineRule="auto"/>
        <w:ind w:right="393" w:hanging="425"/>
      </w:pPr>
      <w:r>
        <w:t>Incidenten</w:t>
      </w:r>
      <w:r>
        <w:rPr>
          <w:vertAlign w:val="superscript"/>
        </w:rPr>
        <w:footnoteReference w:id="1"/>
      </w:r>
    </w:p>
    <w:p w14:paraId="12BD56AB" w14:textId="6459E58D" w:rsidR="002F2E98" w:rsidRDefault="00AD40E7" w:rsidP="009F28B8">
      <w:pPr>
        <w:numPr>
          <w:ilvl w:val="1"/>
          <w:numId w:val="5"/>
        </w:numPr>
        <w:spacing w:after="0" w:line="360" w:lineRule="auto"/>
        <w:ind w:right="393" w:hanging="425"/>
      </w:pPr>
      <w:r>
        <w:t xml:space="preserve">Inbreuken op de betrouwbaarheid en integere handelswijze van personen en instellingen in het kader van de financiële dienstverlening, zowel intern als extern. (Bijvoorbeeld in het kader van de Wet ter </w:t>
      </w:r>
      <w:r w:rsidR="003D435D">
        <w:t>v</w:t>
      </w:r>
      <w:r>
        <w:t xml:space="preserve">oorkoming van </w:t>
      </w:r>
      <w:r w:rsidR="003D435D">
        <w:t>w</w:t>
      </w:r>
      <w:r>
        <w:t xml:space="preserve">itwassen en </w:t>
      </w:r>
      <w:r w:rsidR="003D435D">
        <w:t>f</w:t>
      </w:r>
      <w:r>
        <w:t xml:space="preserve">inancieren van </w:t>
      </w:r>
      <w:r w:rsidR="003D435D">
        <w:t>t</w:t>
      </w:r>
      <w:r>
        <w:t xml:space="preserve">errorisme). </w:t>
      </w:r>
    </w:p>
    <w:p w14:paraId="56BC4B50" w14:textId="77777777" w:rsidR="003D435D" w:rsidRDefault="003D435D" w:rsidP="009F28B8">
      <w:pPr>
        <w:spacing w:after="0" w:line="360" w:lineRule="auto"/>
        <w:ind w:left="1493" w:right="393"/>
      </w:pPr>
    </w:p>
    <w:p w14:paraId="13D3A87A" w14:textId="5ED0F449" w:rsidR="003D435D" w:rsidRDefault="00AD40E7" w:rsidP="009F28B8">
      <w:pPr>
        <w:numPr>
          <w:ilvl w:val="0"/>
          <w:numId w:val="5"/>
        </w:numPr>
        <w:spacing w:after="0" w:line="360" w:lineRule="auto"/>
        <w:ind w:left="720" w:right="393" w:hanging="331"/>
      </w:pPr>
      <w:r>
        <w:t>Van incidenten, als bedoeld in art 29 B</w:t>
      </w:r>
      <w:r w:rsidR="00DB2DAC">
        <w:t xml:space="preserve">esluit Gedragstoezicht financiële ondernemingen </w:t>
      </w:r>
      <w:proofErr w:type="spellStart"/>
      <w:r w:rsidR="00DB2DAC">
        <w:t>Wft</w:t>
      </w:r>
      <w:proofErr w:type="spellEnd"/>
      <w:r>
        <w:t xml:space="preserve">, wordt een registratie bijgehouden. Gegevens over een incident worden door de bestuurder direct na constatering van het feit opgenomen in de registratie. </w:t>
      </w:r>
    </w:p>
    <w:p w14:paraId="0179320C" w14:textId="77777777" w:rsidR="003D435D" w:rsidRDefault="003D435D" w:rsidP="009F28B8">
      <w:pPr>
        <w:spacing w:after="0" w:line="360" w:lineRule="auto"/>
        <w:ind w:left="720" w:right="393"/>
      </w:pPr>
    </w:p>
    <w:p w14:paraId="79DCEF18" w14:textId="77777777" w:rsidR="003D435D" w:rsidRDefault="003D435D" w:rsidP="009F28B8">
      <w:pPr>
        <w:pStyle w:val="ListParagraph"/>
        <w:numPr>
          <w:ilvl w:val="0"/>
          <w:numId w:val="5"/>
        </w:numPr>
        <w:spacing w:after="0" w:line="360" w:lineRule="auto"/>
        <w:ind w:left="426" w:right="393"/>
      </w:pPr>
      <w:r>
        <w:t xml:space="preserve">Er worden passende maatregelen getroffen naar aanleiding van het incident. Deze maatregelen zijn </w:t>
      </w:r>
    </w:p>
    <w:p w14:paraId="7FE64EC1" w14:textId="77777777" w:rsidR="003D435D" w:rsidRDefault="003D435D" w:rsidP="009F28B8">
      <w:pPr>
        <w:pStyle w:val="ListParagraph"/>
        <w:spacing w:after="0" w:line="360" w:lineRule="auto"/>
        <w:ind w:left="426" w:right="393" w:firstLine="282"/>
      </w:pPr>
      <w:proofErr w:type="gramStart"/>
      <w:r>
        <w:t>gericht</w:t>
      </w:r>
      <w:proofErr w:type="gramEnd"/>
      <w:r>
        <w:t xml:space="preserve"> op het beheersen van de opgetreden risico’s en het voorkomen van herhaling. De maatregelen </w:t>
      </w:r>
    </w:p>
    <w:p w14:paraId="2E90021C" w14:textId="2BCD5944" w:rsidR="003D435D" w:rsidRDefault="003D435D" w:rsidP="009F28B8">
      <w:pPr>
        <w:pStyle w:val="ListParagraph"/>
        <w:spacing w:after="0" w:line="360" w:lineRule="auto"/>
        <w:ind w:left="708" w:right="393"/>
      </w:pPr>
      <w:proofErr w:type="gramStart"/>
      <w:r>
        <w:t>worden</w:t>
      </w:r>
      <w:proofErr w:type="gramEnd"/>
      <w:r>
        <w:t xml:space="preserve"> opgenomen in de registratie. </w:t>
      </w:r>
    </w:p>
    <w:p w14:paraId="27A0B113" w14:textId="77777777" w:rsidR="003D435D" w:rsidRDefault="003D435D" w:rsidP="009F28B8">
      <w:pPr>
        <w:spacing w:after="0" w:line="360" w:lineRule="auto"/>
        <w:ind w:right="393"/>
      </w:pPr>
    </w:p>
    <w:p w14:paraId="746CA3CD" w14:textId="77777777" w:rsidR="003D435D" w:rsidRDefault="003D435D" w:rsidP="009F28B8">
      <w:pPr>
        <w:pStyle w:val="ListParagraph"/>
        <w:numPr>
          <w:ilvl w:val="0"/>
          <w:numId w:val="5"/>
        </w:numPr>
        <w:spacing w:after="0" w:line="360" w:lineRule="auto"/>
        <w:ind w:left="426" w:right="393"/>
      </w:pPr>
      <w:r>
        <w:t>Incidenten worden onverwijld gemeld aan de AFM.</w:t>
      </w:r>
      <w:r>
        <w:rPr>
          <w:rStyle w:val="FootnoteReference"/>
        </w:rPr>
        <w:footnoteReference w:id="2"/>
      </w:r>
      <w:r>
        <w:t xml:space="preserve"> </w:t>
      </w:r>
      <w:r w:rsidR="00AD40E7">
        <w:t xml:space="preserve">De registratie is altijd toegankelijk voor de AFM. </w:t>
      </w:r>
    </w:p>
    <w:p w14:paraId="12BD56AD" w14:textId="0982431F" w:rsidR="002F2E98" w:rsidRDefault="003D435D" w:rsidP="009F28B8">
      <w:pPr>
        <w:pStyle w:val="ListParagraph"/>
        <w:spacing w:after="0" w:line="360" w:lineRule="auto"/>
        <w:ind w:left="426" w:right="393"/>
      </w:pPr>
      <w:r>
        <w:t xml:space="preserve"> </w:t>
      </w:r>
      <w:r>
        <w:tab/>
      </w:r>
      <w:r w:rsidR="00AD40E7">
        <w:t xml:space="preserve">De registratie wordt bewaard tot </w:t>
      </w:r>
      <w:r>
        <w:t xml:space="preserve">2 </w:t>
      </w:r>
      <w:r w:rsidR="00AD40E7">
        <w:t xml:space="preserve">jaar na de datum waarop het incident is afgesloten. </w:t>
      </w:r>
    </w:p>
    <w:p w14:paraId="12BD56AE" w14:textId="77777777" w:rsidR="002F2E98" w:rsidRDefault="00AD40E7" w:rsidP="009F28B8">
      <w:pPr>
        <w:spacing w:after="0" w:line="360" w:lineRule="auto"/>
        <w:ind w:right="0"/>
      </w:pPr>
      <w:r>
        <w:rPr>
          <w:b/>
          <w:color w:val="A98F00"/>
          <w:sz w:val="24"/>
        </w:rPr>
        <w:t xml:space="preserve"> </w:t>
      </w:r>
    </w:p>
    <w:p w14:paraId="12BD56AF" w14:textId="77777777" w:rsidR="002F2E98" w:rsidRDefault="00AD40E7" w:rsidP="009F28B8">
      <w:pPr>
        <w:spacing w:after="0" w:line="360" w:lineRule="auto"/>
        <w:ind w:right="0"/>
      </w:pPr>
      <w:r>
        <w:rPr>
          <w:b/>
          <w:color w:val="A98F00"/>
          <w:sz w:val="24"/>
        </w:rPr>
        <w:t xml:space="preserve"> </w:t>
      </w:r>
    </w:p>
    <w:sectPr w:rsidR="002F2E98" w:rsidSect="00894D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694" w:right="1573" w:bottom="1418" w:left="1056" w:header="612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D5838" w14:textId="77777777" w:rsidR="00DB5289" w:rsidRDefault="00DB5289">
      <w:pPr>
        <w:spacing w:after="0" w:line="240" w:lineRule="auto"/>
      </w:pPr>
      <w:r>
        <w:separator/>
      </w:r>
    </w:p>
  </w:endnote>
  <w:endnote w:type="continuationSeparator" w:id="0">
    <w:p w14:paraId="12BD5839" w14:textId="77777777" w:rsidR="00DB5289" w:rsidRDefault="00D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4E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68C6" w14:textId="49E26F22" w:rsidR="00894DF5" w:rsidRPr="00894DF5" w:rsidRDefault="00894DF5">
    <w:pPr>
      <w:pStyle w:val="Footer"/>
      <w:rPr>
        <w:rFonts w:ascii="Arial" w:hAnsi="Arial" w:cs="Arial"/>
        <w:color w:val="44546A" w:themeColor="text2"/>
        <w:sz w:val="16"/>
        <w:szCs w:val="16"/>
      </w:rPr>
    </w:pPr>
    <w:r w:rsidRPr="00894DF5">
      <w:rPr>
        <w:rFonts w:ascii="Arial" w:hAnsi="Arial" w:cs="Arial"/>
        <w:color w:val="44546A" w:themeColor="text2"/>
        <w:sz w:val="16"/>
        <w:szCs w:val="16"/>
      </w:rPr>
      <w:t xml:space="preserve">Versie </w:t>
    </w:r>
    <w:proofErr w:type="spellStart"/>
    <w:r w:rsidR="00DB2DAC">
      <w:rPr>
        <w:rFonts w:ascii="Arial" w:hAnsi="Arial" w:cs="Arial"/>
        <w:color w:val="44546A" w:themeColor="text2"/>
        <w:sz w:val="16"/>
        <w:szCs w:val="16"/>
      </w:rPr>
      <w:t>september</w:t>
    </w:r>
    <w:proofErr w:type="spellEnd"/>
    <w:r w:rsidR="003D435D">
      <w:rPr>
        <w:rFonts w:ascii="Arial" w:hAnsi="Arial" w:cs="Arial"/>
        <w:color w:val="44546A" w:themeColor="text2"/>
        <w:sz w:val="16"/>
        <w:szCs w:val="16"/>
      </w:rPr>
      <w:t xml:space="preserve"> 2021</w:t>
    </w:r>
  </w:p>
  <w:p w14:paraId="12BD584F" w14:textId="505E7157" w:rsidR="00DB5289" w:rsidRDefault="00DB5289">
    <w:pPr>
      <w:spacing w:after="0" w:line="238" w:lineRule="auto"/>
      <w:ind w:right="-17" w:firstLine="88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5A" w14:textId="77777777" w:rsidR="00DB5289" w:rsidRDefault="00DB5289">
    <w:pPr>
      <w:spacing w:after="0" w:line="238" w:lineRule="auto"/>
      <w:ind w:right="-17" w:firstLine="8812"/>
    </w:pPr>
    <w:r>
      <w:rPr>
        <w:rFonts w:ascii="Kartika" w:eastAsia="Kartika" w:hAnsi="Kartika" w:cs="Kartika"/>
        <w:color w:val="000000"/>
        <w:sz w:val="21"/>
      </w:rPr>
      <w:fldChar w:fldCharType="begin"/>
    </w:r>
    <w:r>
      <w:rPr>
        <w:rFonts w:ascii="Kartika" w:eastAsia="Kartika" w:hAnsi="Kartika" w:cs="Kartika"/>
        <w:color w:val="000000"/>
        <w:sz w:val="21"/>
      </w:rPr>
      <w:instrText xml:space="preserve"> PAGE   \* MERGEFORMAT </w:instrText>
    </w:r>
    <w:r>
      <w:rPr>
        <w:rFonts w:ascii="Kartika" w:eastAsia="Kartika" w:hAnsi="Kartika" w:cs="Kartika"/>
        <w:color w:val="000000"/>
        <w:sz w:val="21"/>
      </w:rPr>
      <w:fldChar w:fldCharType="separate"/>
    </w:r>
    <w:r>
      <w:rPr>
        <w:rFonts w:ascii="Kartika" w:eastAsia="Kartika" w:hAnsi="Kartika" w:cs="Kartika"/>
        <w:color w:val="000000"/>
        <w:sz w:val="21"/>
      </w:rPr>
      <w:t>1</w:t>
    </w:r>
    <w:r>
      <w:rPr>
        <w:rFonts w:ascii="Kartika" w:eastAsia="Kartika" w:hAnsi="Kartika" w:cs="Kartika"/>
        <w:color w:val="000000"/>
        <w:sz w:val="21"/>
      </w:rPr>
      <w:fldChar w:fldCharType="end"/>
    </w:r>
    <w:r>
      <w:rPr>
        <w:rFonts w:ascii="Kartika" w:eastAsia="Kartika" w:hAnsi="Kartika" w:cs="Kartika"/>
        <w:color w:val="000000"/>
        <w:sz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5836" w14:textId="77777777" w:rsidR="00DB5289" w:rsidRDefault="00DB5289">
      <w:pPr>
        <w:spacing w:after="0" w:line="275" w:lineRule="auto"/>
        <w:ind w:right="0"/>
      </w:pPr>
      <w:r>
        <w:separator/>
      </w:r>
    </w:p>
  </w:footnote>
  <w:footnote w:type="continuationSeparator" w:id="0">
    <w:p w14:paraId="12BD5837" w14:textId="77777777" w:rsidR="00DB5289" w:rsidRDefault="00DB5289">
      <w:pPr>
        <w:spacing w:after="0" w:line="275" w:lineRule="auto"/>
        <w:ind w:right="0"/>
      </w:pPr>
      <w:r>
        <w:continuationSeparator/>
      </w:r>
    </w:p>
  </w:footnote>
  <w:footnote w:id="1">
    <w:p w14:paraId="12BD5862" w14:textId="1D755BC4" w:rsidR="00DB5289" w:rsidRDefault="00DB5289">
      <w:pPr>
        <w:pStyle w:val="footnotedescription"/>
      </w:pPr>
      <w:r>
        <w:rPr>
          <w:rStyle w:val="footnotemark"/>
        </w:rPr>
        <w:footnoteRef/>
      </w:r>
      <w:r>
        <w:t xml:space="preserve"> Onder een incident wordt verstaan: ”Gedraging of gebeurtenis, die een ernstig gevaar vormt voor de integere uitoefening van het bedrijf van een financiële onderneming”, art.1, onder o, B</w:t>
      </w:r>
      <w:r w:rsidR="00E5674C">
        <w:t xml:space="preserve">esluit Gedragstoezicht financiële ondernemingen </w:t>
      </w:r>
      <w:proofErr w:type="spellStart"/>
      <w:r w:rsidR="00E5674C">
        <w:t>Wft</w:t>
      </w:r>
      <w:proofErr w:type="spellEnd"/>
      <w:r w:rsidR="00E5674C">
        <w:t xml:space="preserve"> (</w:t>
      </w:r>
      <w:proofErr w:type="spellStart"/>
      <w:r w:rsidR="00E5674C">
        <w:t>BGfo</w:t>
      </w:r>
      <w:proofErr w:type="spellEnd"/>
      <w:r w:rsidR="00E5674C">
        <w:t xml:space="preserve"> </w:t>
      </w:r>
      <w:proofErr w:type="spellStart"/>
      <w:r w:rsidR="00E5674C">
        <w:t>Wft</w:t>
      </w:r>
      <w:proofErr w:type="spellEnd"/>
      <w:r w:rsidR="00E5674C">
        <w:t>)</w:t>
      </w:r>
      <w:r>
        <w:t xml:space="preserve">. </w:t>
      </w:r>
      <w:r w:rsidR="003D435D">
        <w:t xml:space="preserve">U kunt dan denken aan het vervalsen van </w:t>
      </w:r>
      <w:r w:rsidR="003D435D" w:rsidRPr="00876ACD">
        <w:t>een handtekening op een aanvraagformulier, zeer dwingende of intimiderende huisbezoeken van een adviseur of een medewerker die zich niet aan de voorschriften binnen uw onderneming houdt</w:t>
      </w:r>
      <w:r w:rsidR="00E5674C">
        <w:t>.</w:t>
      </w:r>
    </w:p>
  </w:footnote>
  <w:footnote w:id="2">
    <w:p w14:paraId="6C08E665" w14:textId="2A1ADCFB" w:rsidR="003D435D" w:rsidRDefault="003D435D" w:rsidP="00876ACD">
      <w:pPr>
        <w:pStyle w:val="FootnoteText"/>
        <w:spacing w:line="312" w:lineRule="auto"/>
        <w:ind w:left="357" w:right="23"/>
      </w:pPr>
      <w:r w:rsidRPr="00876ACD">
        <w:rPr>
          <w:rStyle w:val="FootnoteReference"/>
          <w:sz w:val="16"/>
          <w:szCs w:val="16"/>
        </w:rPr>
        <w:footnoteRef/>
      </w:r>
      <w:r w:rsidRPr="00876ACD">
        <w:rPr>
          <w:sz w:val="16"/>
          <w:szCs w:val="16"/>
        </w:rPr>
        <w:t xml:space="preserve"> </w:t>
      </w:r>
      <w:r w:rsidRPr="00876ACD">
        <w:rPr>
          <w:sz w:val="16"/>
          <w:szCs w:val="22"/>
        </w:rPr>
        <w:t xml:space="preserve">Dit is een wettelijke verplichting die volgt uit artikel 29, derde lid, </w:t>
      </w:r>
      <w:proofErr w:type="spellStart"/>
      <w:r w:rsidRPr="00876ACD">
        <w:rPr>
          <w:sz w:val="16"/>
          <w:szCs w:val="22"/>
        </w:rPr>
        <w:t>BGfo</w:t>
      </w:r>
      <w:proofErr w:type="spellEnd"/>
      <w:r w:rsidRPr="00876ACD">
        <w:rPr>
          <w:sz w:val="16"/>
          <w:szCs w:val="22"/>
        </w:rPr>
        <w:t xml:space="preserve"> </w:t>
      </w:r>
      <w:proofErr w:type="spellStart"/>
      <w:r w:rsidRPr="00876ACD">
        <w:rPr>
          <w:sz w:val="16"/>
          <w:szCs w:val="22"/>
        </w:rPr>
        <w:t>Wft</w:t>
      </w:r>
      <w:proofErr w:type="spellEnd"/>
      <w:r w:rsidRPr="00876ACD">
        <w:rPr>
          <w:sz w:val="16"/>
          <w:szCs w:val="22"/>
        </w:rPr>
        <w:t>. Meer informatie over het melden van een incident vindt u op onze website: https://www.afm.nl/nl-nl/professionals/onderwerpen/misstanden-incidenten.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3A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2BD585B" wp14:editId="12BD585C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3B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3C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3D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3E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3F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0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1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2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3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44" w14:textId="0ACA29E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45" w14:textId="7F0A31AA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46" w14:textId="08B6350C" w:rsidR="00DB5289" w:rsidRDefault="00876ACD">
    <w:pPr>
      <w:spacing w:after="4" w:line="259" w:lineRule="auto"/>
      <w:ind w:right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8CDF2A" wp14:editId="511DD4B1">
          <wp:simplePos x="0" y="0"/>
          <wp:positionH relativeFrom="margin">
            <wp:align>right</wp:align>
          </wp:positionH>
          <wp:positionV relativeFrom="paragraph">
            <wp:posOffset>10988</wp:posOffset>
          </wp:positionV>
          <wp:extent cx="2009775" cy="471805"/>
          <wp:effectExtent l="0" t="0" r="9525" b="4445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289">
      <w:rPr>
        <w:b/>
        <w:sz w:val="16"/>
      </w:rPr>
      <w:t xml:space="preserve">BIJLAGE BIJ VERGUNNINGAANVRAAG - </w:t>
    </w:r>
    <w:proofErr w:type="spellStart"/>
    <w:r w:rsidR="00DB5289">
      <w:rPr>
        <w:b/>
        <w:sz w:val="16"/>
      </w:rPr>
      <w:t>Wft</w:t>
    </w:r>
    <w:proofErr w:type="spellEnd"/>
    <w:r w:rsidR="00DB5289">
      <w:rPr>
        <w:b/>
        <w:sz w:val="16"/>
      </w:rPr>
      <w:t xml:space="preserve"> </w:t>
    </w:r>
  </w:p>
  <w:p w14:paraId="12BD5847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48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49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4A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4B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4C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4D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22EDE68E" w14:textId="77777777" w:rsidR="00C530A5" w:rsidRDefault="00C530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D5850" w14:textId="77777777" w:rsidR="00DB5289" w:rsidRDefault="00DB5289">
    <w:pPr>
      <w:spacing w:after="0" w:line="259" w:lineRule="auto"/>
      <w:ind w:right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2BD585F" wp14:editId="12BD5860">
          <wp:simplePos x="0" y="0"/>
          <wp:positionH relativeFrom="page">
            <wp:posOffset>4960620</wp:posOffset>
          </wp:positionH>
          <wp:positionV relativeFrom="page">
            <wp:posOffset>388620</wp:posOffset>
          </wp:positionV>
          <wp:extent cx="1789176" cy="909828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176" cy="909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 </w:t>
    </w:r>
  </w:p>
  <w:p w14:paraId="12BD5851" w14:textId="77777777" w:rsidR="00DB5289" w:rsidRDefault="00DB5289">
    <w:pPr>
      <w:spacing w:after="0" w:line="259" w:lineRule="auto"/>
      <w:ind w:right="0"/>
    </w:pPr>
    <w:r>
      <w:rPr>
        <w:b/>
        <w:sz w:val="22"/>
      </w:rPr>
      <w:t xml:space="preserve"> </w:t>
    </w:r>
  </w:p>
  <w:p w14:paraId="12BD5852" w14:textId="77777777" w:rsidR="00DB5289" w:rsidRDefault="00DB5289">
    <w:pPr>
      <w:spacing w:after="4" w:line="259" w:lineRule="auto"/>
      <w:ind w:right="0"/>
    </w:pPr>
    <w:r>
      <w:rPr>
        <w:b/>
        <w:sz w:val="16"/>
      </w:rPr>
      <w:t xml:space="preserve">BIJLAGE BIJ VERGUNNINGAANVRAAG - </w:t>
    </w:r>
    <w:proofErr w:type="spellStart"/>
    <w:r>
      <w:rPr>
        <w:b/>
        <w:sz w:val="16"/>
      </w:rPr>
      <w:t>Wft</w:t>
    </w:r>
    <w:proofErr w:type="spellEnd"/>
    <w:r>
      <w:rPr>
        <w:b/>
        <w:sz w:val="16"/>
      </w:rPr>
      <w:t xml:space="preserve"> </w:t>
    </w:r>
  </w:p>
  <w:p w14:paraId="12BD5853" w14:textId="77777777" w:rsidR="00DB5289" w:rsidRDefault="00DB5289">
    <w:pPr>
      <w:spacing w:after="0" w:line="259" w:lineRule="auto"/>
      <w:ind w:right="0"/>
    </w:pPr>
    <w:r>
      <w:rPr>
        <w:i/>
        <w:color w:val="A98F00"/>
      </w:rPr>
      <w:t xml:space="preserve">Onderstaande verplicht invullen </w:t>
    </w:r>
  </w:p>
  <w:p w14:paraId="12BD5854" w14:textId="77777777" w:rsidR="00DB5289" w:rsidRDefault="00DB5289">
    <w:pPr>
      <w:spacing w:after="0" w:line="259" w:lineRule="auto"/>
      <w:ind w:right="0"/>
    </w:pPr>
    <w:r>
      <w:rPr>
        <w:b/>
      </w:rPr>
      <w:t xml:space="preserve"> </w:t>
    </w:r>
  </w:p>
  <w:p w14:paraId="12BD5855" w14:textId="77777777" w:rsidR="00DB5289" w:rsidRDefault="00DB5289">
    <w:pPr>
      <w:spacing w:after="14" w:line="259" w:lineRule="auto"/>
      <w:ind w:right="0"/>
    </w:pPr>
    <w:r>
      <w:rPr>
        <w:b/>
      </w:rPr>
      <w:t xml:space="preserve">Naam financieel dienstverlener:  </w:t>
    </w:r>
  </w:p>
  <w:p w14:paraId="12BD5856" w14:textId="77777777" w:rsidR="00DB5289" w:rsidRDefault="00DB5289">
    <w:pPr>
      <w:spacing w:after="14" w:line="259" w:lineRule="auto"/>
      <w:ind w:right="0"/>
    </w:pPr>
    <w:r>
      <w:rPr>
        <w:b/>
      </w:rPr>
      <w:t xml:space="preserve">KvK-nummer:  </w:t>
    </w:r>
  </w:p>
  <w:p w14:paraId="12BD5857" w14:textId="77777777" w:rsidR="00DB5289" w:rsidRDefault="00DB5289">
    <w:pPr>
      <w:spacing w:after="55" w:line="259" w:lineRule="auto"/>
      <w:ind w:right="0"/>
    </w:pPr>
    <w:r>
      <w:rPr>
        <w:b/>
      </w:rPr>
      <w:t xml:space="preserve">Gemaakt op: </w:t>
    </w:r>
  </w:p>
  <w:p w14:paraId="12BD5858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  <w:p w14:paraId="12BD5859" w14:textId="77777777" w:rsidR="00DB5289" w:rsidRDefault="00DB5289">
    <w:pPr>
      <w:spacing w:after="0" w:line="259" w:lineRule="auto"/>
      <w:ind w:right="0"/>
    </w:pPr>
    <w:r>
      <w:rPr>
        <w:rFonts w:ascii="Kartika" w:eastAsia="Kartika" w:hAnsi="Kartika" w:cs="Kartika"/>
        <w:color w:val="000000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077CE"/>
    <w:multiLevelType w:val="hybridMultilevel"/>
    <w:tmpl w:val="E988A652"/>
    <w:lvl w:ilvl="0" w:tplc="26A036B8">
      <w:start w:val="1"/>
      <w:numFmt w:val="decimal"/>
      <w:lvlText w:val="%1."/>
      <w:lvlJc w:val="left"/>
      <w:pPr>
        <w:ind w:left="77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AC0F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CE5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F8A9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079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062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26A5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325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C40A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200F2"/>
    <w:multiLevelType w:val="hybridMultilevel"/>
    <w:tmpl w:val="DE24B3E4"/>
    <w:lvl w:ilvl="0" w:tplc="BE82245E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3AECC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109E16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A6D75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18509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E86BD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0469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9AD7C4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D86762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F4B2A"/>
    <w:multiLevelType w:val="hybridMultilevel"/>
    <w:tmpl w:val="B0568792"/>
    <w:lvl w:ilvl="0" w:tplc="551C7B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D0542A"/>
    <w:multiLevelType w:val="hybridMultilevel"/>
    <w:tmpl w:val="23C48856"/>
    <w:lvl w:ilvl="0" w:tplc="D41A7BD8">
      <w:start w:val="4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BEA7A2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18CD4E">
      <w:start w:val="1"/>
      <w:numFmt w:val="lowerRoman"/>
      <w:lvlText w:val="%3."/>
      <w:lvlJc w:val="left"/>
      <w:pPr>
        <w:ind w:left="1009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465546">
      <w:start w:val="1"/>
      <w:numFmt w:val="decimal"/>
      <w:lvlText w:val="%4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5E3B46">
      <w:start w:val="1"/>
      <w:numFmt w:val="lowerLetter"/>
      <w:lvlText w:val="%5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E2AD12">
      <w:start w:val="1"/>
      <w:numFmt w:val="lowerRoman"/>
      <w:lvlText w:val="%6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E27DC">
      <w:start w:val="1"/>
      <w:numFmt w:val="decimal"/>
      <w:lvlText w:val="%7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1863A0">
      <w:start w:val="1"/>
      <w:numFmt w:val="lowerLetter"/>
      <w:lvlText w:val="%8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A60498">
      <w:start w:val="1"/>
      <w:numFmt w:val="lowerRoman"/>
      <w:lvlText w:val="%9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AD4814"/>
    <w:multiLevelType w:val="hybridMultilevel"/>
    <w:tmpl w:val="0E16DF88"/>
    <w:lvl w:ilvl="0" w:tplc="B13260EE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13910C1"/>
    <w:multiLevelType w:val="hybridMultilevel"/>
    <w:tmpl w:val="C6A68C64"/>
    <w:lvl w:ilvl="0" w:tplc="70A61B16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81E5E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FE819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18B5B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00B4C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C0F72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4C00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4671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DC7C8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415E4F"/>
    <w:multiLevelType w:val="hybridMultilevel"/>
    <w:tmpl w:val="7A92B1C2"/>
    <w:lvl w:ilvl="0" w:tplc="D9DEC8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AAA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2432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2893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08905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582C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321B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7C05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30A4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E1741B"/>
    <w:multiLevelType w:val="hybridMultilevel"/>
    <w:tmpl w:val="DDF49E3E"/>
    <w:lvl w:ilvl="0" w:tplc="3B626BDC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2C209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019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40E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F822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05D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2CBE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30B0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D21C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461BF8"/>
    <w:multiLevelType w:val="hybridMultilevel"/>
    <w:tmpl w:val="7D3CEA1E"/>
    <w:lvl w:ilvl="0" w:tplc="33F00F8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2062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AD9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88D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CC3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2C2C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AC86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9048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8469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C7CB0"/>
    <w:multiLevelType w:val="hybridMultilevel"/>
    <w:tmpl w:val="58E0093A"/>
    <w:lvl w:ilvl="0" w:tplc="3C6AFF94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F29E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C78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3488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4ED2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052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FE75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0EF4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DACD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7B1C71"/>
    <w:multiLevelType w:val="hybridMultilevel"/>
    <w:tmpl w:val="B86CA336"/>
    <w:lvl w:ilvl="0" w:tplc="F68E4B62">
      <w:start w:val="1"/>
      <w:numFmt w:val="lowerRoman"/>
      <w:lvlText w:val="%1.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873BA4"/>
    <w:multiLevelType w:val="hybridMultilevel"/>
    <w:tmpl w:val="68C6EEB8"/>
    <w:lvl w:ilvl="0" w:tplc="7DE2AD12">
      <w:start w:val="1"/>
      <w:numFmt w:val="lowerRoman"/>
      <w:lvlText w:val="%1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3300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20B5DE8"/>
    <w:multiLevelType w:val="hybridMultilevel"/>
    <w:tmpl w:val="A1AE3F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98"/>
    <w:rsid w:val="001C792C"/>
    <w:rsid w:val="002D5387"/>
    <w:rsid w:val="002F2A6C"/>
    <w:rsid w:val="002F2E98"/>
    <w:rsid w:val="00391F0F"/>
    <w:rsid w:val="003927A6"/>
    <w:rsid w:val="003D435D"/>
    <w:rsid w:val="00406D31"/>
    <w:rsid w:val="004A343F"/>
    <w:rsid w:val="005E694D"/>
    <w:rsid w:val="007143BD"/>
    <w:rsid w:val="007462E2"/>
    <w:rsid w:val="007B32C2"/>
    <w:rsid w:val="00876ACD"/>
    <w:rsid w:val="00894DF5"/>
    <w:rsid w:val="00903074"/>
    <w:rsid w:val="009F28B8"/>
    <w:rsid w:val="009F4A50"/>
    <w:rsid w:val="00A55694"/>
    <w:rsid w:val="00AC7D92"/>
    <w:rsid w:val="00AD40E7"/>
    <w:rsid w:val="00B326AE"/>
    <w:rsid w:val="00BA134E"/>
    <w:rsid w:val="00BC1A66"/>
    <w:rsid w:val="00C530A5"/>
    <w:rsid w:val="00CA375D"/>
    <w:rsid w:val="00CB1FEA"/>
    <w:rsid w:val="00CB68E7"/>
    <w:rsid w:val="00D63CA6"/>
    <w:rsid w:val="00D65B2B"/>
    <w:rsid w:val="00D94F05"/>
    <w:rsid w:val="00DB2DAC"/>
    <w:rsid w:val="00DB5289"/>
    <w:rsid w:val="00E5674C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BD5662"/>
  <w15:docId w15:val="{63A00B73-529B-4C0A-A3A1-C236A9E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360" w:right="20"/>
    </w:pPr>
    <w:rPr>
      <w:rFonts w:ascii="Arial" w:eastAsia="Arial" w:hAnsi="Arial" w:cs="Arial"/>
      <w:color w:val="330066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1"/>
      <w:ind w:left="370" w:hanging="10"/>
      <w:outlineLvl w:val="0"/>
    </w:pPr>
    <w:rPr>
      <w:rFonts w:ascii="Arial" w:eastAsia="Arial" w:hAnsi="Arial" w:cs="Arial"/>
      <w:b/>
      <w:color w:val="A98F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5"/>
      <w:ind w:left="360"/>
      <w:outlineLvl w:val="1"/>
    </w:pPr>
    <w:rPr>
      <w:rFonts w:ascii="Arial" w:eastAsia="Arial" w:hAnsi="Arial" w:cs="Arial"/>
      <w:b/>
      <w:i/>
      <w:color w:val="3300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330066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A98F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12" w:lineRule="auto"/>
      <w:ind w:left="360"/>
    </w:pPr>
    <w:rPr>
      <w:rFonts w:ascii="Arial" w:eastAsia="Arial" w:hAnsi="Arial" w:cs="Arial"/>
      <w:color w:val="330066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330066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330066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6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66"/>
    <w:rPr>
      <w:rFonts w:ascii="Segoe UI" w:eastAsia="Arial" w:hAnsi="Segoe UI" w:cs="Segoe UI"/>
      <w:color w:val="33006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4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05"/>
    <w:rPr>
      <w:rFonts w:ascii="Arial" w:eastAsia="Arial" w:hAnsi="Arial" w:cs="Arial"/>
      <w:color w:val="3300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05"/>
    <w:rPr>
      <w:rFonts w:ascii="Arial" w:eastAsia="Arial" w:hAnsi="Arial" w:cs="Arial"/>
      <w:b/>
      <w:bCs/>
      <w:color w:val="330066"/>
      <w:sz w:val="20"/>
      <w:szCs w:val="20"/>
    </w:rPr>
  </w:style>
  <w:style w:type="paragraph" w:styleId="ListParagraph">
    <w:name w:val="List Paragraph"/>
    <w:basedOn w:val="Normal"/>
    <w:uiPriority w:val="34"/>
    <w:qFormat/>
    <w:rsid w:val="00D94F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4DF5"/>
    <w:pPr>
      <w:tabs>
        <w:tab w:val="center" w:pos="4680"/>
        <w:tab w:val="right" w:pos="9360"/>
      </w:tabs>
      <w:spacing w:after="0" w:line="240" w:lineRule="auto"/>
      <w:ind w:left="0" w:right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4DF5"/>
    <w:rPr>
      <w:rFonts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3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35D"/>
    <w:rPr>
      <w:rFonts w:ascii="Arial" w:eastAsia="Arial" w:hAnsi="Arial" w:cs="Arial"/>
      <w:color w:val="3300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4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AFMDOC-129-12095</_dlc_DocId>
    <_dlc_DocIdUrl xmlns="dd62d345-e1f9-48ef-b6ff-7cdbbbf7a6ae">
      <Url>https://dms.stelan.nl/bedrijfsvoering/_layouts/15/DocIdRedir.aspx?ID=AFMDOC-129-12095</Url>
      <Description>AFMDOC-129-12095</Description>
    </_dlc_DocIdUrl>
  </documentManagement>
</p:properties>
</file>

<file path=customXml/itemProps1.xml><?xml version="1.0" encoding="utf-8"?>
<ds:datastoreItem xmlns:ds="http://schemas.openxmlformats.org/officeDocument/2006/customXml" ds:itemID="{C460D96F-503C-43DE-AA2A-5A157D4DDE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8C90B5-79E7-4D3A-B084-242BEBFEA2C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D9EF1C5-4F30-4BA7-9C63-EC765B9C200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31200AC-0379-47E8-88B1-9B53DE9AE819}"/>
</file>

<file path=customXml/itemProps5.xml><?xml version="1.0" encoding="utf-8"?>
<ds:datastoreItem xmlns:ds="http://schemas.openxmlformats.org/officeDocument/2006/customXml" ds:itemID="{779F5775-A277-4957-BCAD-58C5645782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8A9C88-CAE2-441F-AABA-50A3855D50A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B023E53-AC1C-401B-BCF6-71000A9C26B5}">
  <ds:schemaRefs>
    <ds:schemaRef ds:uri="http://purl.org/dc/elements/1.1/"/>
    <ds:schemaRef ds:uri="http://schemas.microsoft.com/office/2006/metadata/properties"/>
    <ds:schemaRef ds:uri="936c9f6d-703f-4492-b10b-5967c53212d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63132b-4ebf-45ff-bece-f1cd0400ee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Beschrijving bedrijfsprocessen</vt:lpstr>
    </vt:vector>
  </TitlesOfParts>
  <Company>Autoriteit Financiële Markten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Beschrijving bedrijfsprocessen</dc:title>
  <dc:subject/>
  <dc:creator>kampw</dc:creator>
  <cp:keywords/>
  <cp:lastModifiedBy>Kreuger, Eva</cp:lastModifiedBy>
  <cp:revision>6</cp:revision>
  <dcterms:created xsi:type="dcterms:W3CDTF">2021-06-10T09:26:00Z</dcterms:created>
  <dcterms:modified xsi:type="dcterms:W3CDTF">2021-08-31T06:26:00Z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66a861f8-6034-40b0-8a18-f88ec61c828e</vt:lpwstr>
  </property>
  <property fmtid="{D5CDD505-2E9C-101B-9397-08002B2CF9AE}" pid="4" name="TaxKeyword">
    <vt:lpwstr/>
  </property>
  <property fmtid="{D5CDD505-2E9C-101B-9397-08002B2CF9AE}" pid="5" name="Kanaal">
    <vt:lpwstr/>
  </property>
  <property fmtid="{D5CDD505-2E9C-101B-9397-08002B2CF9AE}" pid="6" name="Toezichtstaak">
    <vt:lpwstr/>
  </property>
  <property fmtid="{D5CDD505-2E9C-101B-9397-08002B2CF9AE}" pid="7" name="Documenttype">
    <vt:lpwstr/>
  </property>
  <property fmtid="{D5CDD505-2E9C-101B-9397-08002B2CF9AE}" pid="8" name="Organisatieonderdeel">
    <vt:lpwstr/>
  </property>
  <property fmtid="{D5CDD505-2E9C-101B-9397-08002B2CF9AE}" pid="9" name="Proces">
    <vt:lpwstr/>
  </property>
  <property fmtid="{D5CDD505-2E9C-101B-9397-08002B2CF9AE}" pid="10" name="ProcesHTField0">
    <vt:lpwstr/>
  </property>
  <property fmtid="{D5CDD505-2E9C-101B-9397-08002B2CF9AE}" pid="11" name="OrganisatieonderdeelHTField0">
    <vt:lpwstr/>
  </property>
  <property fmtid="{D5CDD505-2E9C-101B-9397-08002B2CF9AE}" pid="12" name="_dlc_DocId">
    <vt:lpwstr>AFMAFD-122-1533</vt:lpwstr>
  </property>
  <property fmtid="{D5CDD505-2E9C-101B-9397-08002B2CF9AE}" pid="13" name="DocumenttypeHTField0">
    <vt:lpwstr/>
  </property>
  <property fmtid="{D5CDD505-2E9C-101B-9397-08002B2CF9AE}" pid="14" name="KanaalHTField0">
    <vt:lpwstr/>
  </property>
  <property fmtid="{D5CDD505-2E9C-101B-9397-08002B2CF9AE}" pid="15" name="_dlc_DocIdUrl">
    <vt:lpwstr>http://dms.stelan.nl/sites/Afdelingen/tsc/_layouts/15/DocIdRedir.aspx?ID=AFMAFD-122-1533AFMAFD-122-1533</vt:lpwstr>
  </property>
  <property fmtid="{D5CDD505-2E9C-101B-9397-08002B2CF9AE}" pid="16" name="TaxKeywordTaxHTField">
    <vt:lpwstr/>
  </property>
  <property fmtid="{D5CDD505-2E9C-101B-9397-08002B2CF9AE}" pid="17" name="ToezichtstaakHTField0">
    <vt:lpwstr/>
  </property>
  <property fmtid="{D5CDD505-2E9C-101B-9397-08002B2CF9AE}" pid="18" name="DossierstatusTaxHTField0">
    <vt:lpwstr/>
  </property>
  <property fmtid="{D5CDD505-2E9C-101B-9397-08002B2CF9AE}" pid="19" name="Domein">
    <vt:lpwstr/>
  </property>
  <property fmtid="{D5CDD505-2E9C-101B-9397-08002B2CF9AE}" pid="20" name="Zaaktype">
    <vt:lpwstr/>
  </property>
  <property fmtid="{D5CDD505-2E9C-101B-9397-08002B2CF9AE}" pid="21" name="WetsartikelRegelingTaxHTField0">
    <vt:lpwstr/>
  </property>
  <property fmtid="{D5CDD505-2E9C-101B-9397-08002B2CF9AE}" pid="22" name="WetsartikelLidTaxHTField0">
    <vt:lpwstr/>
  </property>
  <property fmtid="{D5CDD505-2E9C-101B-9397-08002B2CF9AE}" pid="23" name="Type_FV">
    <vt:lpwstr/>
  </property>
  <property fmtid="{D5CDD505-2E9C-101B-9397-08002B2CF9AE}" pid="24" name="Verzendwijze">
    <vt:lpwstr/>
  </property>
  <property fmtid="{D5CDD505-2E9C-101B-9397-08002B2CF9AE}" pid="25" name="Type_FVTaxHTField0">
    <vt:lpwstr/>
  </property>
  <property fmtid="{D5CDD505-2E9C-101B-9397-08002B2CF9AE}" pid="26" name="WetsartikelArtikelTaxHTField0">
    <vt:lpwstr/>
  </property>
  <property fmtid="{D5CDD505-2E9C-101B-9397-08002B2CF9AE}" pid="27" name="DomeinTaxHTField0">
    <vt:lpwstr/>
  </property>
  <property fmtid="{D5CDD505-2E9C-101B-9397-08002B2CF9AE}" pid="28" name="VerzendwijzeTaxHTField0">
    <vt:lpwstr/>
  </property>
  <property fmtid="{D5CDD505-2E9C-101B-9397-08002B2CF9AE}" pid="29" name="Dossierstatus">
    <vt:lpwstr/>
  </property>
  <property fmtid="{D5CDD505-2E9C-101B-9397-08002B2CF9AE}" pid="30" name="BeslisserTaxHTField0">
    <vt:lpwstr/>
  </property>
  <property fmtid="{D5CDD505-2E9C-101B-9397-08002B2CF9AE}" pid="31" name="WetsartikelArtikel">
    <vt:lpwstr/>
  </property>
  <property fmtid="{D5CDD505-2E9C-101B-9397-08002B2CF9AE}" pid="32" name="WetsartikelRegeling">
    <vt:lpwstr/>
  </property>
  <property fmtid="{D5CDD505-2E9C-101B-9397-08002B2CF9AE}" pid="33" name="WetsartikelLid">
    <vt:lpwstr/>
  </property>
  <property fmtid="{D5CDD505-2E9C-101B-9397-08002B2CF9AE}" pid="34" name="ZaaktypeTaxHTField0">
    <vt:lpwstr/>
  </property>
  <property fmtid="{D5CDD505-2E9C-101B-9397-08002B2CF9AE}" pid="35" name="Beslisser">
    <vt:lpwstr/>
  </property>
</Properties>
</file>